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highlight w:val="none"/>
        </w:rPr>
        <w:t>三峡发展公司社会招聘岗位需求表</w:t>
      </w:r>
    </w:p>
    <w:tbl>
      <w:tblPr>
        <w:tblStyle w:val="3"/>
        <w:tblW w:w="8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201"/>
        <w:gridCol w:w="2100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</w:rPr>
              <w:t>需求人数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</w:rPr>
              <w:t>工作地点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土木工程（水利水电工程&amp;水工结构工程&amp;土木工程&amp;工程管理&amp;安全管理&amp;港航工程等）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若干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公司项目所在地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1. 本科及以上；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2. 全日制大专及以上学历，且持有中级职称或相应的执业资格；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3. 45岁以下（1974年1月1日以后出生）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机械电气类（电气工程及其自动化&amp;电力系统自动化&amp;能源与动力工程&amp;机械工程等）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若干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公司项目所在地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1. 本科及以上；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2. 全日制大专及以上学历，且持有中级职称或相应的执业资格；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3. 45岁以下（1974年1月1日以后出生）。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金结制安类（材料成型与控制工程&amp;金属材料工程&amp;测控技术与仪器等）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若干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公司项目所在地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1. 本科及以上；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2. 全日制大专及以上学历，且持有中级职称或相应的执业资格；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3. 45岁以下（1974年1月1日以后出生）。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eastAsia="zh-CN"/>
              </w:rPr>
              <w:t>工程经济类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若干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公司项目所在地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1. 本科及以上；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2. 全日制大专及以上学历，且持有中级职称或相应的执业资格；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3. 45岁以下（1974年1月1日以后出生）。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41DE1"/>
    <w:rsid w:val="743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2018-10-25T07:31:00Z</dcterms:created>
  <dc:creator>侯锦东</dc:creator>
  <cp:lastModifiedBy>侯锦东</cp:lastModifiedBy>
  <dcterms:modified xsi:type="dcterms:W3CDTF">2018-10-25T07:32:09Z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